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C93A4D" w:rsidP="000501B7">
      <w:pPr>
        <w:rPr>
          <w:noProof/>
          <w:u w:val="single"/>
          <w:lang w:val="ru-RU"/>
        </w:rPr>
      </w:pP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10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6B60BA" w:rsidRPr="00C91E7E" w:rsidRDefault="006B60BA" w:rsidP="002475BB">
      <w:pPr>
        <w:ind w:firstLine="708"/>
        <w:jc w:val="both"/>
        <w:rPr>
          <w:b/>
          <w:lang w:val="en-US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>:</w:t>
      </w:r>
      <w:r w:rsidR="00C91E7E" w:rsidRPr="00C91E7E">
        <w:t xml:space="preserve"> </w:t>
      </w:r>
      <w:r w:rsidR="00C91E7E" w:rsidRPr="00C91E7E">
        <w:rPr>
          <w:b/>
        </w:rPr>
        <w:t>Изработване на рекламни материали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по проект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„Община Русе – интелигентна и ефективна държавна администрация” одобрен за финансиране с Договор за безвъзмездна финансова помощ</w:t>
      </w:r>
      <w:r w:rsidR="00C91E7E" w:rsidRPr="00C91E7E">
        <w:rPr>
          <w:b/>
          <w:i/>
        </w:rPr>
        <w:t xml:space="preserve"> </w:t>
      </w:r>
      <w:r w:rsidR="00C91E7E" w:rsidRPr="00C91E7E">
        <w:rPr>
          <w:b/>
        </w:rPr>
        <w:t>№ М13-22-140/05.08.2014 г по Оперативна програма „Административен капацитет 2007-2013“, съфинансирана от Европейския съюз чрез Европейския социален фонд</w:t>
      </w:r>
      <w:r w:rsidR="00C91E7E">
        <w:t>.</w:t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e-mail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16277C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lastRenderedPageBreak/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</w:t>
      </w:r>
      <w:r w:rsidR="002F13C9">
        <w:rPr>
          <w:rFonts w:ascii="Times New Roman" w:hAnsi="Times New Roman"/>
          <w:lang w:val="bg-BG"/>
        </w:rPr>
        <w:t xml:space="preserve"> </w:t>
      </w:r>
      <w:r w:rsidR="002F13C9" w:rsidRPr="0016277C">
        <w:rPr>
          <w:rFonts w:ascii="Times New Roman" w:hAnsi="Times New Roman"/>
          <w:lang w:val="bg-BG"/>
        </w:rPr>
        <w:t xml:space="preserve">и с проектодоговора </w:t>
      </w:r>
      <w:r w:rsidRPr="0016277C">
        <w:rPr>
          <w:rFonts w:ascii="Times New Roman" w:hAnsi="Times New Roman"/>
        </w:rPr>
        <w:t>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C93A4D" w:rsidP="009B5806">
      <w:pPr>
        <w:rPr>
          <w:rFonts w:eastAsia="Calibri" w:cs="Arial"/>
          <w:noProof/>
          <w:u w:val="single"/>
          <w:lang w:val="ru-RU" w:eastAsia="en-US"/>
        </w:rPr>
      </w:pP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2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C91E7E" w:rsidRPr="00C91E7E">
        <w:rPr>
          <w:b/>
        </w:rPr>
        <w:t>Изработване на рекламни материали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по проект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„Община Русе – интелигентна и ефективна държавна администрация” одобрен за финансиране с Договор за безвъзмездна финансова помощ</w:t>
      </w:r>
      <w:r w:rsidR="00C91E7E" w:rsidRPr="00C91E7E">
        <w:rPr>
          <w:b/>
          <w:i/>
        </w:rPr>
        <w:t xml:space="preserve"> </w:t>
      </w:r>
      <w:r w:rsidR="00C91E7E" w:rsidRPr="00C91E7E">
        <w:rPr>
          <w:b/>
        </w:rPr>
        <w:t>№ М13-22-140/05.08.2014 г по Оперативна програма „Административен капацитет 2007-2013“, съфинансирана от Европейския съюз чрез Европейския социален фонд.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9B5806" w:rsidRDefault="009B5806" w:rsidP="009B5806">
      <w:pPr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9B5806" w:rsidRDefault="009B5806">
      <w:pPr>
        <w:spacing w:after="200" w:line="276" w:lineRule="auto"/>
        <w:rPr>
          <w:lang w:val="en-US"/>
        </w:rPr>
      </w:pPr>
    </w:p>
    <w:p w:rsidR="009B5806" w:rsidRPr="009B5806" w:rsidRDefault="009B5806" w:rsidP="0057217D">
      <w:pPr>
        <w:ind w:left="6372" w:right="-851"/>
        <w:jc w:val="right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C93A4D" w:rsidP="009B5806">
      <w:pPr>
        <w:rPr>
          <w:noProof/>
          <w:u w:val="single"/>
          <w:lang w:val="ru-RU"/>
        </w:rPr>
      </w:pP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4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9B5806" w:rsidRDefault="009B5806" w:rsidP="009B5806">
      <w:pPr>
        <w:ind w:firstLine="709"/>
        <w:jc w:val="both"/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C91E7E" w:rsidRPr="00C91E7E">
        <w:rPr>
          <w:b/>
        </w:rPr>
        <w:t>Изработване на рекламни материали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по проект</w:t>
      </w:r>
      <w:r w:rsidR="00C91E7E" w:rsidRPr="00C91E7E">
        <w:rPr>
          <w:b/>
          <w:sz w:val="18"/>
          <w:szCs w:val="18"/>
        </w:rPr>
        <w:t xml:space="preserve"> </w:t>
      </w:r>
      <w:r w:rsidR="00C91E7E" w:rsidRPr="00C91E7E">
        <w:rPr>
          <w:b/>
        </w:rPr>
        <w:t>„Община Русе – интелигентна и ефективна държавна администрация” одобрен за финансиране с Договор за безвъзмездна финансова помощ</w:t>
      </w:r>
      <w:r w:rsidR="00C91E7E" w:rsidRPr="00C91E7E">
        <w:rPr>
          <w:b/>
          <w:i/>
        </w:rPr>
        <w:t xml:space="preserve"> </w:t>
      </w:r>
      <w:r w:rsidR="00C91E7E" w:rsidRPr="00C91E7E">
        <w:rPr>
          <w:b/>
        </w:rPr>
        <w:t>№ М13-22-140/05.08.2014 г по Оперативна програма „Административен капацитет 2007-2013“, съфинансирана от Европейския съюз чрез Европейския социален фонд</w:t>
      </w:r>
      <w:r w:rsidRPr="00C91E7E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Pr="009B5806" w:rsidRDefault="009B5806" w:rsidP="009B5806">
      <w:pPr>
        <w:jc w:val="both"/>
      </w:pPr>
    </w:p>
    <w:p w:rsidR="00333FEF" w:rsidRPr="00333FEF" w:rsidRDefault="00333FEF" w:rsidP="00333FEF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333FEF">
        <w:rPr>
          <w:rFonts w:eastAsia="Calibri"/>
          <w:b/>
          <w:szCs w:val="22"/>
          <w:lang w:eastAsia="en-US"/>
        </w:rPr>
        <w:t xml:space="preserve">ОБЩА ЦЕНА </w:t>
      </w:r>
      <w:r w:rsidRPr="00333FEF">
        <w:rPr>
          <w:rFonts w:eastAsia="Calibri"/>
          <w:szCs w:val="22"/>
          <w:lang w:eastAsia="en-US"/>
        </w:rPr>
        <w:t xml:space="preserve">за изпълнение на поръчката </w:t>
      </w:r>
    </w:p>
    <w:p w:rsidR="00333FEF" w:rsidRPr="00333FEF" w:rsidRDefault="00333FEF" w:rsidP="00333FEF">
      <w:pPr>
        <w:spacing w:after="200" w:line="276" w:lineRule="auto"/>
        <w:rPr>
          <w:rFonts w:eastAsia="Calibri"/>
          <w:szCs w:val="22"/>
          <w:lang w:eastAsia="en-US"/>
        </w:rPr>
      </w:pPr>
      <w:r w:rsidRPr="00333FEF">
        <w:rPr>
          <w:rFonts w:eastAsia="Calibri"/>
          <w:szCs w:val="22"/>
          <w:lang w:eastAsia="en-US"/>
        </w:rPr>
        <w:t>………………………………………………………………… лв./словом/ без вкл. ДДС и</w:t>
      </w:r>
      <w:r>
        <w:rPr>
          <w:rFonts w:eastAsia="Calibri"/>
          <w:szCs w:val="22"/>
          <w:lang w:eastAsia="en-US"/>
        </w:rPr>
        <w:t>ли</w:t>
      </w:r>
    </w:p>
    <w:p w:rsidR="00333FEF" w:rsidRPr="00333FEF" w:rsidRDefault="00333FEF" w:rsidP="00333FEF">
      <w:pPr>
        <w:spacing w:after="200" w:line="276" w:lineRule="auto"/>
        <w:rPr>
          <w:rFonts w:eastAsia="Calibri"/>
          <w:szCs w:val="22"/>
          <w:lang w:eastAsia="en-US"/>
        </w:rPr>
      </w:pPr>
      <w:r w:rsidRPr="00333FEF">
        <w:rPr>
          <w:rFonts w:eastAsia="Calibri"/>
          <w:szCs w:val="22"/>
          <w:lang w:eastAsia="en-US"/>
        </w:rPr>
        <w:t xml:space="preserve"> ………………………………………………………………… лв./словом/ с включен ДДС.</w:t>
      </w:r>
    </w:p>
    <w:p w:rsidR="00333FEF" w:rsidRPr="000D6CDE" w:rsidRDefault="000D6CDE" w:rsidP="00C445B6">
      <w:pPr>
        <w:ind w:right="1000"/>
        <w:rPr>
          <w:b/>
          <w:u w:val="single"/>
        </w:rPr>
      </w:pPr>
      <w:r w:rsidRPr="000D6CDE">
        <w:rPr>
          <w:b/>
          <w:u w:val="single"/>
        </w:rPr>
        <w:t>Приложения:</w:t>
      </w:r>
    </w:p>
    <w:p w:rsidR="000D6CDE" w:rsidRPr="000D6CDE" w:rsidRDefault="000D6CDE" w:rsidP="000D6CDE">
      <w:pPr>
        <w:pStyle w:val="a9"/>
        <w:numPr>
          <w:ilvl w:val="0"/>
          <w:numId w:val="9"/>
        </w:numPr>
      </w:pPr>
      <w:r w:rsidRPr="000D6CDE">
        <w:t>Справка – предлагана цена за изпълнение предмета на поръчката</w:t>
      </w:r>
    </w:p>
    <w:p w:rsidR="000D6CDE" w:rsidRDefault="000D6CDE" w:rsidP="00C445B6">
      <w:pPr>
        <w:ind w:right="1000"/>
      </w:pPr>
    </w:p>
    <w:p w:rsidR="00C445B6" w:rsidRDefault="00C445B6" w:rsidP="00C445B6">
      <w:pPr>
        <w:ind w:right="1000"/>
      </w:pPr>
      <w:r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C445B6" w:rsidRDefault="00C445B6" w:rsidP="00C445B6">
      <w:pPr>
        <w:spacing w:line="360" w:lineRule="auto"/>
      </w:pPr>
      <w:r>
        <w:t>__________________________ (длъжност на представляващия участника)</w:t>
      </w:r>
    </w:p>
    <w:p w:rsidR="00333FEF" w:rsidRDefault="00333FEF" w:rsidP="00522D20">
      <w:pPr>
        <w:shd w:val="clear" w:color="auto" w:fill="FFFFFF"/>
        <w:spacing w:before="120"/>
        <w:ind w:left="7920" w:right="-851" w:hanging="974"/>
        <w:rPr>
          <w:rFonts w:eastAsia="Calibri" w:cs="Arial"/>
          <w:b/>
          <w:i/>
          <w:lang w:eastAsia="en-US"/>
        </w:rPr>
      </w:pPr>
      <w:bookmarkStart w:id="0" w:name="_Toc408557917"/>
    </w:p>
    <w:p w:rsidR="0057217D" w:rsidRDefault="0057217D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57217D" w:rsidRDefault="0057217D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  <w:sectPr w:rsidR="0057217D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217D" w:rsidRDefault="0057217D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 w:rsidR="002D10CC">
        <w:rPr>
          <w:rFonts w:eastAsia="Calibri" w:cs="Arial"/>
          <w:b/>
          <w:i/>
          <w:lang w:eastAsia="en-US"/>
        </w:rPr>
        <w:t>№</w:t>
      </w:r>
      <w:r>
        <w:rPr>
          <w:rFonts w:eastAsia="Calibri" w:cs="Arial"/>
          <w:b/>
          <w:i/>
          <w:lang w:eastAsia="en-US"/>
        </w:rPr>
        <w:t>4</w:t>
      </w:r>
    </w:p>
    <w:p w:rsidR="0057217D" w:rsidRPr="007A688B" w:rsidRDefault="0057217D" w:rsidP="0057217D">
      <w:pPr>
        <w:jc w:val="right"/>
        <w:rPr>
          <w:b/>
          <w:i/>
        </w:rPr>
      </w:pPr>
      <w:r>
        <w:rPr>
          <w:b/>
          <w:i/>
        </w:rPr>
        <w:t>Справка – предлагана цена за изпълнение предмета на поръчката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06"/>
        <w:gridCol w:w="890"/>
        <w:gridCol w:w="1624"/>
        <w:gridCol w:w="1624"/>
        <w:gridCol w:w="1624"/>
        <w:gridCol w:w="1624"/>
        <w:gridCol w:w="4268"/>
      </w:tblGrid>
      <w:tr w:rsidR="0057217D" w:rsidRPr="0057217D" w:rsidTr="0057217D">
        <w:trPr>
          <w:trHeight w:val="1134"/>
        </w:trPr>
        <w:tc>
          <w:tcPr>
            <w:tcW w:w="16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center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№</w:t>
            </w:r>
          </w:p>
        </w:tc>
        <w:tc>
          <w:tcPr>
            <w:tcW w:w="74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center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Вид артикул</w:t>
            </w:r>
          </w:p>
        </w:tc>
        <w:tc>
          <w:tcPr>
            <w:tcW w:w="313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center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Брой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единична цена без ДДС (лв.)</w:t>
            </w:r>
          </w:p>
        </w:tc>
        <w:tc>
          <w:tcPr>
            <w:tcW w:w="571" w:type="pct"/>
            <w:shd w:val="clear" w:color="auto" w:fill="BFBFBF"/>
          </w:tcPr>
          <w:p w:rsidR="0057217D" w:rsidRDefault="0057217D" w:rsidP="0057217D">
            <w:pPr>
              <w:rPr>
                <w:rFonts w:eastAsia="Calibri"/>
                <w:b/>
              </w:rPr>
            </w:pPr>
          </w:p>
          <w:p w:rsidR="0057217D" w:rsidRPr="0057217D" w:rsidRDefault="0057217D" w:rsidP="0057217D">
            <w:pPr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единична цена с ДДС (лв.)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both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обща цена без ДДС (лв.)</w:t>
            </w:r>
          </w:p>
        </w:tc>
        <w:tc>
          <w:tcPr>
            <w:tcW w:w="57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both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обща цена с ДДС (лв.)</w:t>
            </w:r>
          </w:p>
        </w:tc>
        <w:tc>
          <w:tcPr>
            <w:tcW w:w="1501" w:type="pct"/>
            <w:shd w:val="clear" w:color="auto" w:fill="BFBFBF"/>
            <w:vAlign w:val="center"/>
          </w:tcPr>
          <w:p w:rsidR="0057217D" w:rsidRPr="0057217D" w:rsidRDefault="0057217D" w:rsidP="0057217D">
            <w:pPr>
              <w:jc w:val="center"/>
              <w:rPr>
                <w:rFonts w:eastAsia="Calibri"/>
                <w:b/>
              </w:rPr>
            </w:pPr>
            <w:r w:rsidRPr="0057217D">
              <w:rPr>
                <w:rFonts w:eastAsia="Calibri"/>
                <w:b/>
              </w:rPr>
              <w:t>Забележка/</w:t>
            </w:r>
            <w:r w:rsidRPr="0057217D">
              <w:rPr>
                <w:rFonts w:eastAsia="Calibri"/>
                <w:b/>
                <w:u w:val="single"/>
              </w:rPr>
              <w:t>Минимални</w:t>
            </w:r>
            <w:r w:rsidRPr="0057217D">
              <w:rPr>
                <w:rFonts w:eastAsia="Calibri"/>
                <w:b/>
              </w:rPr>
              <w:t xml:space="preserve"> специфични изисквания към артикула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jc w:val="both"/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</w:rPr>
              <w:t>1.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t>USB флашки с капацитет 8 GB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300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  <w:rPr>
                <w:rFonts w:eastAsia="Calibri"/>
              </w:rPr>
            </w:pPr>
            <w:proofErr w:type="spellStart"/>
            <w:r w:rsidRPr="0057217D">
              <w:rPr>
                <w:rFonts w:eastAsia="Calibri"/>
              </w:rPr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57217D">
              <w:rPr>
                <w:rFonts w:eastAsia="Calibri"/>
                <w:b/>
              </w:rPr>
              <w:t>USB конектор тип:</w:t>
            </w:r>
            <w:r w:rsidRPr="0057217D">
              <w:rPr>
                <w:rFonts w:eastAsia="Calibri"/>
              </w:rPr>
              <w:t xml:space="preserve"> Стандартен USB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57217D">
              <w:rPr>
                <w:rFonts w:eastAsia="Calibri"/>
                <w:b/>
              </w:rPr>
              <w:t>Капацитет:</w:t>
            </w:r>
            <w:r w:rsidRPr="0057217D">
              <w:rPr>
                <w:rFonts w:eastAsia="Calibri"/>
              </w:rPr>
              <w:t xml:space="preserve"> </w:t>
            </w:r>
            <w:r w:rsidRPr="0057217D">
              <w:rPr>
                <w:rFonts w:eastAsia="Calibri"/>
                <w:lang w:val="en-US"/>
              </w:rPr>
              <w:t>8</w:t>
            </w:r>
            <w:r w:rsidRPr="0057217D">
              <w:rPr>
                <w:rFonts w:eastAsia="Calibri"/>
              </w:rPr>
              <w:t xml:space="preserve"> GB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  <w:rPr>
                <w:rFonts w:eastAsia="Calibri"/>
              </w:rPr>
            </w:pPr>
            <w:r w:rsidRPr="0057217D">
              <w:rPr>
                <w:rFonts w:eastAsia="Calibri"/>
                <w:b/>
              </w:rPr>
              <w:t>Тип свързване:</w:t>
            </w:r>
            <w:r w:rsidRPr="0057217D">
              <w:rPr>
                <w:rFonts w:eastAsia="Calibri"/>
              </w:rPr>
              <w:t xml:space="preserve"> USB 2.0 или по-високо</w:t>
            </w:r>
          </w:p>
          <w:p w:rsidR="0057217D" w:rsidRPr="0057217D" w:rsidRDefault="0057217D" w:rsidP="0057217D"/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  <w:lang w:val="en-US"/>
              </w:rPr>
              <w:t>2</w:t>
            </w:r>
            <w:r w:rsidRPr="0057217D">
              <w:rPr>
                <w:rFonts w:eastAsia="Calibri"/>
                <w:i/>
              </w:rPr>
              <w:t xml:space="preserve">. 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t>Химикали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300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  <w:rPr>
                <w:rFonts w:eastAsia="Calibri"/>
                <w:lang w:val="en-US"/>
              </w:rPr>
            </w:pPr>
            <w:proofErr w:type="spellStart"/>
            <w:r w:rsidRPr="0057217D">
              <w:rPr>
                <w:rFonts w:eastAsia="Calibri"/>
              </w:rPr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rFonts w:eastAsia="Calibri"/>
                <w:b/>
              </w:rPr>
              <w:lastRenderedPageBreak/>
              <w:t>Материал:</w:t>
            </w:r>
            <w:r w:rsidRPr="0057217D">
              <w:rPr>
                <w:rFonts w:eastAsia="Calibri"/>
              </w:rPr>
              <w:t xml:space="preserve"> </w:t>
            </w:r>
            <w:proofErr w:type="spellStart"/>
            <w:r w:rsidRPr="0057217D">
              <w:rPr>
                <w:rFonts w:eastAsia="Calibri"/>
              </w:rPr>
              <w:t>еко</w:t>
            </w:r>
            <w:proofErr w:type="spellEnd"/>
            <w:r w:rsidRPr="0057217D">
              <w:rPr>
                <w:rFonts w:eastAsia="Calibri"/>
              </w:rPr>
              <w:t xml:space="preserve"> и/или пластмаса;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rFonts w:eastAsia="Calibri"/>
                <w:b/>
              </w:rPr>
              <w:t>Мастило:</w:t>
            </w:r>
            <w:r w:rsidRPr="0057217D">
              <w:rPr>
                <w:rFonts w:eastAsia="Calibri"/>
              </w:rPr>
              <w:t xml:space="preserve"> синьо;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rFonts w:eastAsia="Calibri"/>
                <w:b/>
              </w:rPr>
              <w:t>Дебелина на писане:</w:t>
            </w:r>
            <w:r w:rsidRPr="0057217D">
              <w:rPr>
                <w:rFonts w:eastAsia="Calibri"/>
              </w:rPr>
              <w:t xml:space="preserve"> 0,5 мм;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rPr>
                <w:rFonts w:eastAsia="Calibri"/>
                <w:b/>
              </w:rPr>
              <w:t>Клипс</w:t>
            </w:r>
            <w:proofErr w:type="spellEnd"/>
            <w:r w:rsidRPr="0057217D">
              <w:rPr>
                <w:rFonts w:eastAsia="Calibri"/>
                <w:b/>
              </w:rPr>
              <w:t>:</w:t>
            </w:r>
            <w:r w:rsidRPr="0057217D">
              <w:rPr>
                <w:rFonts w:eastAsia="Calibri"/>
              </w:rPr>
              <w:t xml:space="preserve"> пластмасов или метален 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  <w:lang w:val="en-US"/>
              </w:rPr>
              <w:lastRenderedPageBreak/>
              <w:t>3</w:t>
            </w:r>
            <w:r w:rsidRPr="0057217D">
              <w:rPr>
                <w:rFonts w:eastAsia="Calibri"/>
                <w:i/>
              </w:rPr>
              <w:t>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  <w:lang w:val="en-US"/>
              </w:rPr>
            </w:pPr>
            <w:r w:rsidRPr="0057217D">
              <w:t>Тефтери А5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300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rPr>
                <w:rFonts w:eastAsia="Calibri"/>
              </w:rPr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  <w:bCs/>
              </w:rPr>
              <w:t>Размери:</w:t>
            </w:r>
            <w:r w:rsidRPr="0057217D">
              <w:t xml:space="preserve"> 135х205 мм / 176 стр.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  <w:bCs/>
              </w:rPr>
              <w:t>Скрепване:</w:t>
            </w:r>
            <w:r w:rsidRPr="0057217D">
              <w:t xml:space="preserve"> спирала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  <w:bCs/>
              </w:rPr>
              <w:t>Тяло:</w:t>
            </w:r>
            <w:r w:rsidRPr="0057217D">
              <w:t xml:space="preserve"> 70гр./м</w:t>
            </w:r>
            <w:r w:rsidRPr="0057217D">
              <w:rPr>
                <w:vertAlign w:val="superscript"/>
              </w:rPr>
              <w:t>2 </w:t>
            </w:r>
            <w:r w:rsidRPr="0057217D">
              <w:t>офсет;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  <w:bCs/>
              </w:rPr>
              <w:t>Корици:</w:t>
            </w:r>
            <w:r w:rsidRPr="0057217D">
              <w:t xml:space="preserve"> твърда;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  <w:bCs/>
              </w:rPr>
              <w:t>Листи:</w:t>
            </w:r>
            <w:r w:rsidRPr="0057217D">
              <w:t xml:space="preserve"> 100 бр. с линии;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</w:rPr>
              <w:t>4.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t>Чанти (хартиени) -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300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rPr>
                <w:rFonts w:eastAsia="Calibri"/>
              </w:rPr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</w:t>
            </w:r>
            <w:r w:rsidRPr="0057217D">
              <w:rPr>
                <w:rFonts w:eastAsia="Calibri"/>
              </w:rPr>
              <w:lastRenderedPageBreak/>
              <w:t>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>Размери:</w:t>
            </w:r>
            <w:r w:rsidRPr="0057217D">
              <w:t xml:space="preserve"> </w:t>
            </w:r>
            <w:r w:rsidRPr="0057217D">
              <w:rPr>
                <w:rFonts w:eastAsia="Calibri"/>
              </w:rPr>
              <w:t>ширина</w:t>
            </w:r>
            <w:r w:rsidRPr="0057217D">
              <w:t xml:space="preserve"> x височина x дъно 230х300х70 мм;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rFonts w:eastAsia="Calibri"/>
                <w:b/>
              </w:rPr>
              <w:t xml:space="preserve">Шнур: </w:t>
            </w:r>
            <w:r w:rsidRPr="0057217D">
              <w:t>полиестерен с дебелина 7 мм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Хартия: </w:t>
            </w:r>
            <w:r w:rsidRPr="0057217D">
              <w:t xml:space="preserve">170 </w:t>
            </w:r>
            <w:proofErr w:type="spellStart"/>
            <w:r w:rsidRPr="0057217D">
              <w:t>гр</w:t>
            </w:r>
            <w:proofErr w:type="spellEnd"/>
            <w:r w:rsidRPr="0057217D">
              <w:t>/м 2 гланц;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Покритие: </w:t>
            </w:r>
            <w:r w:rsidRPr="0057217D">
              <w:t>UV лак;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>Подложки:</w:t>
            </w:r>
            <w:r w:rsidRPr="0057217D">
              <w:t xml:space="preserve"> 350 </w:t>
            </w:r>
            <w:proofErr w:type="spellStart"/>
            <w:r w:rsidRPr="0057217D">
              <w:t>гр</w:t>
            </w:r>
            <w:proofErr w:type="spellEnd"/>
            <w:r w:rsidRPr="0057217D">
              <w:t>/м 2 картон.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</w:rPr>
              <w:lastRenderedPageBreak/>
              <w:t>5.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t>Папки А4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300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rPr>
                <w:rFonts w:eastAsia="Calibri"/>
              </w:rPr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>Материал:</w:t>
            </w:r>
            <w:r w:rsidRPr="0057217D">
              <w:t xml:space="preserve"> картон;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Ластик: </w:t>
            </w:r>
            <w:r w:rsidRPr="0057217D">
              <w:t>да;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Два капака /джоб/ на вътрешната долна корица: </w:t>
            </w:r>
            <w:r w:rsidRPr="0057217D">
              <w:t>да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</w:rPr>
              <w:t>6.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  <w:lang w:val="en-US"/>
              </w:rPr>
            </w:pPr>
            <w:r w:rsidRPr="0057217D">
              <w:t>Пълноцветни плакати А3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10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t xml:space="preserve"> </w:t>
            </w:r>
            <w:r w:rsidRPr="0057217D">
              <w:rPr>
                <w:rFonts w:eastAsia="Calibri"/>
              </w:rPr>
              <w:t xml:space="preserve">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</w:t>
            </w:r>
            <w:r w:rsidRPr="0057217D">
              <w:rPr>
                <w:rFonts w:eastAsia="Calibri"/>
              </w:rPr>
              <w:lastRenderedPageBreak/>
              <w:t>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Размер: </w:t>
            </w:r>
            <w:r w:rsidRPr="0057217D">
              <w:t>А3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>Печат:</w:t>
            </w:r>
            <w:r w:rsidRPr="0057217D">
              <w:t xml:space="preserve"> 4+0 цвята (пълноцветен, едностранен печат);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 xml:space="preserve">Материал: </w:t>
            </w:r>
            <w:r w:rsidRPr="0057217D">
              <w:t xml:space="preserve"> хартия 115 г/м</w:t>
            </w:r>
            <w:r w:rsidRPr="0057217D">
              <w:rPr>
                <w:vertAlign w:val="superscript"/>
              </w:rPr>
              <w:t>2</w:t>
            </w:r>
            <w:r w:rsidRPr="0057217D">
              <w:t>, гланц.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  <w:r w:rsidRPr="0057217D">
              <w:rPr>
                <w:rFonts w:eastAsia="Calibri"/>
                <w:i/>
              </w:rPr>
              <w:lastRenderedPageBreak/>
              <w:t>7.</w:t>
            </w: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t>Пълноцветни брошури с размери 10/21 см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  <w:r w:rsidRPr="0057217D">
              <w:rPr>
                <w:rFonts w:ascii="Cambria" w:eastAsia="Calibri" w:hAnsi="Cambria"/>
                <w:i/>
              </w:rPr>
              <w:t>350 бр.</w:t>
            </w: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  <w:vAlign w:val="center"/>
          </w:tcPr>
          <w:p w:rsidR="0057217D" w:rsidRPr="0057217D" w:rsidRDefault="0057217D" w:rsidP="0057217D">
            <w:pPr>
              <w:jc w:val="right"/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rPr>
                <w:rFonts w:eastAsia="Calibri"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proofErr w:type="spellStart"/>
            <w:r w:rsidRPr="0057217D">
              <w:t>Брандирани</w:t>
            </w:r>
            <w:proofErr w:type="spellEnd"/>
            <w:r w:rsidRPr="0057217D">
              <w:rPr>
                <w:rFonts w:eastAsia="Calibri"/>
              </w:rPr>
              <w:t xml:space="preserve"> с флага на ЕС,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ОПАК – „ОПАК. Експерти в действие” и логото и </w:t>
            </w:r>
            <w:proofErr w:type="spellStart"/>
            <w:r w:rsidRPr="0057217D">
              <w:rPr>
                <w:rFonts w:eastAsia="Calibri"/>
              </w:rPr>
              <w:t>слогана</w:t>
            </w:r>
            <w:proofErr w:type="spellEnd"/>
            <w:r w:rsidRPr="0057217D">
              <w:rPr>
                <w:rFonts w:eastAsia="Calibri"/>
              </w:rPr>
              <w:t xml:space="preserve"> на ЕСФ – „Европейски социален фонд. Инвестиции в хората“;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t>Размер: 100/210 мм;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rPr>
                <w:b/>
              </w:rPr>
              <w:t>Печат:</w:t>
            </w:r>
            <w:r w:rsidRPr="0057217D">
              <w:t xml:space="preserve"> 4+4 цвята (пълноцветен, двустранен печат)</w:t>
            </w:r>
          </w:p>
          <w:p w:rsidR="0057217D" w:rsidRPr="0057217D" w:rsidRDefault="0057217D" w:rsidP="0057217D">
            <w:pPr>
              <w:numPr>
                <w:ilvl w:val="0"/>
                <w:numId w:val="10"/>
              </w:numPr>
            </w:pPr>
            <w:r w:rsidRPr="0057217D">
              <w:t>Материал: хартия 130 г/м</w:t>
            </w:r>
            <w:r w:rsidRPr="0057217D">
              <w:rPr>
                <w:vertAlign w:val="superscript"/>
              </w:rPr>
              <w:t>2</w:t>
            </w:r>
            <w:r w:rsidRPr="0057217D">
              <w:t>, гланц.</w:t>
            </w:r>
          </w:p>
        </w:tc>
      </w:tr>
      <w:tr w:rsidR="0057217D" w:rsidRPr="0057217D" w:rsidTr="0057217D">
        <w:tc>
          <w:tcPr>
            <w:tcW w:w="16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</w:p>
        </w:tc>
        <w:tc>
          <w:tcPr>
            <w:tcW w:w="741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b/>
                <w:i/>
                <w:lang w:val="en-US"/>
              </w:rPr>
            </w:pPr>
            <w:r w:rsidRPr="0057217D">
              <w:rPr>
                <w:rFonts w:ascii="Cambria" w:eastAsia="Calibri" w:hAnsi="Cambria"/>
                <w:b/>
                <w:i/>
              </w:rPr>
              <w:t xml:space="preserve">Обща сума </w:t>
            </w:r>
          </w:p>
        </w:tc>
        <w:tc>
          <w:tcPr>
            <w:tcW w:w="313" w:type="pct"/>
          </w:tcPr>
          <w:p w:rsidR="0057217D" w:rsidRPr="0057217D" w:rsidRDefault="0057217D" w:rsidP="0057217D">
            <w:pPr>
              <w:rPr>
                <w:rFonts w:ascii="Cambria" w:eastAsia="Calibri" w:hAnsi="Cambria"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jc w:val="right"/>
              <w:rPr>
                <w:rFonts w:ascii="Cambria" w:eastAsia="Calibri" w:hAnsi="Cambria"/>
                <w:b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jc w:val="right"/>
              <w:rPr>
                <w:rFonts w:ascii="Cambria" w:eastAsia="Calibri" w:hAnsi="Cambria"/>
                <w:b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ind w:firstLine="1260"/>
              <w:rPr>
                <w:rFonts w:ascii="Cambria" w:eastAsia="Calibri" w:hAnsi="Cambria"/>
                <w:b/>
                <w:i/>
              </w:rPr>
            </w:pPr>
          </w:p>
        </w:tc>
        <w:tc>
          <w:tcPr>
            <w:tcW w:w="571" w:type="pct"/>
          </w:tcPr>
          <w:p w:rsidR="0057217D" w:rsidRPr="0057217D" w:rsidRDefault="0057217D" w:rsidP="0057217D">
            <w:pPr>
              <w:ind w:firstLine="1260"/>
              <w:rPr>
                <w:rFonts w:ascii="Cambria" w:eastAsia="Calibri" w:hAnsi="Cambria"/>
                <w:b/>
                <w:i/>
              </w:rPr>
            </w:pPr>
          </w:p>
        </w:tc>
        <w:tc>
          <w:tcPr>
            <w:tcW w:w="1501" w:type="pct"/>
          </w:tcPr>
          <w:p w:rsidR="0057217D" w:rsidRPr="0057217D" w:rsidRDefault="0057217D" w:rsidP="0057217D">
            <w:pPr>
              <w:ind w:firstLine="1260"/>
              <w:rPr>
                <w:rFonts w:ascii="Cambria" w:eastAsia="Calibri" w:hAnsi="Cambria"/>
                <w:b/>
                <w:i/>
              </w:rPr>
            </w:pPr>
          </w:p>
        </w:tc>
      </w:tr>
    </w:tbl>
    <w:p w:rsidR="0057217D" w:rsidRDefault="0057217D">
      <w:pPr>
        <w:spacing w:after="200" w:line="276" w:lineRule="auto"/>
        <w:rPr>
          <w:rFonts w:eastAsia="Calibri" w:cs="Arial"/>
          <w:b/>
          <w:i/>
          <w:lang w:eastAsia="en-US"/>
        </w:rPr>
      </w:pPr>
    </w:p>
    <w:p w:rsidR="0057217D" w:rsidRDefault="0057217D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4030B5" w:rsidRPr="004030B5" w:rsidRDefault="004030B5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bookmarkEnd w:id="0"/>
      <w:r w:rsidR="002D10CC">
        <w:rPr>
          <w:rFonts w:eastAsia="Calibri" w:cs="Arial"/>
          <w:b/>
          <w:i/>
          <w:lang w:eastAsia="en-US"/>
        </w:rPr>
        <w:t>№</w:t>
      </w:r>
      <w:bookmarkStart w:id="1" w:name="_GoBack"/>
      <w:bookmarkEnd w:id="1"/>
      <w:r w:rsidR="0057217D">
        <w:rPr>
          <w:rFonts w:eastAsia="Calibri" w:cs="Arial"/>
          <w:b/>
          <w:i/>
          <w:lang w:eastAsia="en-US"/>
        </w:rPr>
        <w:t>5</w:t>
      </w:r>
    </w:p>
    <w:p w:rsidR="004030B5" w:rsidRPr="004030B5" w:rsidRDefault="004030B5" w:rsidP="004030B5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4030B5" w:rsidRPr="004030B5" w:rsidRDefault="004030B5" w:rsidP="004030B5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4030B5" w:rsidRPr="004030B5" w:rsidRDefault="004030B5" w:rsidP="004030B5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4030B5" w:rsidRPr="004030B5" w:rsidRDefault="004030B5" w:rsidP="004030B5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3353"/>
        <w:gridCol w:w="2443"/>
        <w:gridCol w:w="1911"/>
        <w:gridCol w:w="2363"/>
        <w:gridCol w:w="2986"/>
      </w:tblGrid>
      <w:tr w:rsidR="004030B5" w:rsidRPr="004030B5" w:rsidTr="00224E19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30B5" w:rsidRPr="004030B5" w:rsidRDefault="004030B5" w:rsidP="004030B5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4030B5" w:rsidRPr="004030B5" w:rsidTr="004D3552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4D3552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4D3552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4D3552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4D3552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030B5" w:rsidRPr="004030B5" w:rsidTr="004D3552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B5" w:rsidRPr="004030B5" w:rsidRDefault="004030B5" w:rsidP="004030B5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B5" w:rsidRPr="004030B5" w:rsidRDefault="004030B5" w:rsidP="004030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030B5" w:rsidRPr="004030B5" w:rsidRDefault="004030B5" w:rsidP="004030B5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4030B5" w:rsidRPr="004030B5" w:rsidRDefault="004030B5" w:rsidP="004030B5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4030B5" w:rsidRPr="004030B5" w:rsidRDefault="004030B5" w:rsidP="004030B5">
      <w:pPr>
        <w:ind w:firstLine="708"/>
        <w:jc w:val="both"/>
        <w:rPr>
          <w:lang w:val="en-US"/>
        </w:rPr>
      </w:pPr>
    </w:p>
    <w:p w:rsidR="004030B5" w:rsidRPr="004030B5" w:rsidRDefault="004030B5" w:rsidP="004030B5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4030B5" w:rsidRPr="004D3552" w:rsidRDefault="004030B5" w:rsidP="004D3552">
      <w:pPr>
        <w:ind w:left="708" w:firstLine="708"/>
        <w:jc w:val="both"/>
        <w:rPr>
          <w:i/>
        </w:rPr>
      </w:pPr>
      <w:r w:rsidRPr="004030B5">
        <w:rPr>
          <w:i/>
        </w:rPr>
        <w:t>Име, подпис и печат</w:t>
      </w:r>
    </w:p>
    <w:sectPr w:rsidR="004030B5" w:rsidRPr="004D3552" w:rsidSect="005721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D" w:rsidRDefault="00C93A4D" w:rsidP="00AB6CD8">
      <w:r>
        <w:separator/>
      </w:r>
    </w:p>
  </w:endnote>
  <w:endnote w:type="continuationSeparator" w:id="0">
    <w:p w:rsidR="00C93A4D" w:rsidRDefault="00C93A4D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E" w:rsidRPr="00C33009" w:rsidRDefault="00C91E7E" w:rsidP="00C91E7E">
    <w:pPr>
      <w:pBdr>
        <w:top w:val="single" w:sz="0" w:space="0" w:color="auto"/>
      </w:pBdr>
      <w:tabs>
        <w:tab w:val="center" w:pos="4536"/>
        <w:tab w:val="right" w:pos="9072"/>
      </w:tabs>
      <w:jc w:val="center"/>
      <w:rPr>
        <w:rFonts w:eastAsia="Batang"/>
        <w:szCs w:val="20"/>
      </w:rPr>
    </w:pPr>
    <w:r w:rsidRPr="00C33009">
      <w:rPr>
        <w:rFonts w:eastAsia="Batang"/>
        <w:i/>
        <w:sz w:val="16"/>
        <w:szCs w:val="20"/>
      </w:rPr>
      <w:t>Този документ е създаден в рамките на проект „Община Русе – интелигентна и ефективна държавна администрация“ в изпълнение на договор № М 13-22-140/05.08.2014 г., който се осъществява с финансовата подкрепа на Оперативна програма „Административен капацитет“ 2007-2013 г., съфинансирана от Европейския съюз чрез Европейския социален фонд.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 орган.</w:t>
    </w:r>
  </w:p>
  <w:p w:rsidR="00C91E7E" w:rsidRDefault="00C91E7E" w:rsidP="00C91E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D" w:rsidRDefault="00C93A4D" w:rsidP="00AB6CD8">
      <w:r>
        <w:separator/>
      </w:r>
    </w:p>
  </w:footnote>
  <w:footnote w:type="continuationSeparator" w:id="0">
    <w:p w:rsidR="00C93A4D" w:rsidRDefault="00C93A4D" w:rsidP="00AB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E" w:rsidRDefault="00C91E7E">
    <w:pPr>
      <w:pStyle w:val="a5"/>
    </w:pPr>
    <w:r>
      <w:rPr>
        <w:noProof/>
      </w:rPr>
      <w:drawing>
        <wp:inline distT="0" distB="0" distL="0" distR="0" wp14:anchorId="42F71A01" wp14:editId="1CAD6DEF">
          <wp:extent cx="5760720" cy="833120"/>
          <wp:effectExtent l="0" t="0" r="0" b="508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1839"/>
    <w:multiLevelType w:val="hybridMultilevel"/>
    <w:tmpl w:val="BBC87FD0"/>
    <w:lvl w:ilvl="0" w:tplc="8B92CC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C16D4"/>
    <w:multiLevelType w:val="hybridMultilevel"/>
    <w:tmpl w:val="D878EE4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0D6CDE"/>
    <w:rsid w:val="0016277C"/>
    <w:rsid w:val="002475BB"/>
    <w:rsid w:val="00250CB4"/>
    <w:rsid w:val="002D10CC"/>
    <w:rsid w:val="002F13C9"/>
    <w:rsid w:val="00313C5F"/>
    <w:rsid w:val="00333FEF"/>
    <w:rsid w:val="00382A09"/>
    <w:rsid w:val="003C0B02"/>
    <w:rsid w:val="004030B5"/>
    <w:rsid w:val="00407F64"/>
    <w:rsid w:val="004436E3"/>
    <w:rsid w:val="00496E8E"/>
    <w:rsid w:val="004D3552"/>
    <w:rsid w:val="00522D20"/>
    <w:rsid w:val="0057217D"/>
    <w:rsid w:val="00664FAF"/>
    <w:rsid w:val="006B60BA"/>
    <w:rsid w:val="00734770"/>
    <w:rsid w:val="008034D9"/>
    <w:rsid w:val="0082161D"/>
    <w:rsid w:val="008553D6"/>
    <w:rsid w:val="008E53A6"/>
    <w:rsid w:val="009B5806"/>
    <w:rsid w:val="00AB6CD8"/>
    <w:rsid w:val="00B120DB"/>
    <w:rsid w:val="00B6788F"/>
    <w:rsid w:val="00BB5BBD"/>
    <w:rsid w:val="00C3615B"/>
    <w:rsid w:val="00C445B6"/>
    <w:rsid w:val="00C777DC"/>
    <w:rsid w:val="00C87BBA"/>
    <w:rsid w:val="00C91E7E"/>
    <w:rsid w:val="00C93A4D"/>
    <w:rsid w:val="00D000D9"/>
    <w:rsid w:val="00D71F63"/>
    <w:rsid w:val="00DC0AA8"/>
    <w:rsid w:val="00DC54D7"/>
    <w:rsid w:val="00E243EF"/>
    <w:rsid w:val="00E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e-bg.e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yor@ruse-bg.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-bg.e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ayor@ruse-b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-bg.eu" TargetMode="External"/><Relationship Id="rId14" Type="http://schemas.openxmlformats.org/officeDocument/2006/relationships/hyperlink" Target="mailto:mayor@ruse-b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2014-10-01T11:04:00Z</cp:lastPrinted>
  <dcterms:created xsi:type="dcterms:W3CDTF">2014-11-19T07:22:00Z</dcterms:created>
  <dcterms:modified xsi:type="dcterms:W3CDTF">2015-03-04T11:54:00Z</dcterms:modified>
</cp:coreProperties>
</file>